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098" w:rsidRDefault="00BF6098"/>
    <w:p w:rsidR="00495E28" w:rsidRDefault="00495E28"/>
    <w:p w:rsidR="00495E28" w:rsidRDefault="00495E28" w:rsidP="00495E2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56DE0"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B1D6AB2" wp14:editId="7293141D">
                <wp:simplePos x="0" y="0"/>
                <wp:positionH relativeFrom="column">
                  <wp:posOffset>855345</wp:posOffset>
                </wp:positionH>
                <wp:positionV relativeFrom="paragraph">
                  <wp:posOffset>398145</wp:posOffset>
                </wp:positionV>
                <wp:extent cx="638175" cy="400050"/>
                <wp:effectExtent l="0" t="0" r="0" b="0"/>
                <wp:wrapNone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" cy="400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5E28" w:rsidRPr="00D14606" w:rsidRDefault="00495E28" w:rsidP="00495E28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1D6AB2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67.35pt;margin-top:31.35pt;width:50.25pt;height:31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" filled="f" stroked="f">
                <v:textbox>
                  <w:txbxContent>
                    <w:p w:rsidR="00495E28" w:rsidRPr="00D14606" w:rsidRDefault="00495E28" w:rsidP="00495E28">
                      <w:pPr>
                        <w:spacing w:line="240" w:lineRule="auto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56DE0">
        <w:rPr>
          <w:noProof/>
          <w:lang w:eastAsia="tr-TR"/>
        </w:rPr>
        <w:drawing>
          <wp:inline distT="0" distB="0" distL="0" distR="0" wp14:anchorId="0F779A7E" wp14:editId="7A6E9449">
            <wp:extent cx="3333750" cy="2438400"/>
            <wp:effectExtent l="0" t="0" r="0" b="0"/>
            <wp:docPr id="1" name="Grafik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495E28" w:rsidRDefault="00495E28" w:rsidP="00495E2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66635">
        <w:rPr>
          <w:rFonts w:ascii="Times New Roman" w:hAnsi="Times New Roman" w:cs="Times New Roman"/>
          <w:b/>
          <w:sz w:val="24"/>
          <w:szCs w:val="24"/>
          <w:lang w:val="en-US"/>
        </w:rPr>
        <w:t>Figure 1.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Current values depending on glucose concentration of GOD electrode constructed by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PPy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layer obtaining by different pyrrole concentrations as </w:t>
      </w:r>
      <w:r w:rsidRPr="00556DE0">
        <w:rPr>
          <w:rFonts w:ascii="Times New Roman" w:hAnsi="Times New Roman" w:cs="Times New Roman"/>
          <w:sz w:val="24"/>
          <w:szCs w:val="24"/>
          <w:lang w:val="en-US"/>
        </w:rPr>
        <w:t>10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556DE0">
        <w:rPr>
          <w:rFonts w:ascii="Times New Roman" w:hAnsi="Times New Roman" w:cs="Times New Roman"/>
          <w:sz w:val="24"/>
          <w:szCs w:val="24"/>
          <w:lang w:val="en-US"/>
        </w:rPr>
        <w:sym w:font="Wingdings 2" w:char="F098"/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556DE0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25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556DE0">
        <w:rPr>
          <w:rFonts w:ascii="Times New Roman" w:hAnsi="Times New Roman" w:cs="Times New Roman"/>
          <w:sz w:val="24"/>
          <w:szCs w:val="24"/>
          <w:lang w:val="en-US"/>
        </w:rPr>
        <w:sym w:font="Wingdings 2" w:char="F099"/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556DE0">
        <w:rPr>
          <w:rFonts w:ascii="Times New Roman" w:hAnsi="Times New Roman" w:cs="Times New Roman"/>
          <w:sz w:val="24"/>
          <w:szCs w:val="24"/>
          <w:lang w:val="en-US"/>
        </w:rPr>
        <w:t>;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50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mM</w:t>
      </w:r>
      <w:proofErr w:type="spellEnd"/>
      <w:r w:rsidRPr="00556D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556DE0">
        <w:rPr>
          <w:rFonts w:ascii="Times New Roman" w:hAnsi="Times New Roman" w:cs="Times New Roman"/>
          <w:sz w:val="24"/>
          <w:szCs w:val="24"/>
          <w:lang w:val="en-US"/>
        </w:rPr>
        <w:sym w:font="Wingdings 3" w:char="F072"/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556DE0">
        <w:rPr>
          <w:rFonts w:ascii="Times New Roman" w:hAnsi="Times New Roman" w:cs="Times New Roman"/>
          <w:sz w:val="24"/>
          <w:szCs w:val="24"/>
          <w:lang w:val="en-US"/>
        </w:rPr>
        <w:t>;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75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mM</w:t>
      </w:r>
      <w:proofErr w:type="spellEnd"/>
      <w:r w:rsidRPr="00556D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556DE0">
        <w:rPr>
          <w:rFonts w:ascii="Times New Roman" w:hAnsi="Times New Roman" w:cs="Times New Roman"/>
          <w:sz w:val="24"/>
          <w:szCs w:val="24"/>
          <w:lang w:val="en-US"/>
        </w:rPr>
        <w:sym w:font="Wingdings 3" w:char="F070"/>
      </w:r>
      <w:r>
        <w:rPr>
          <w:rFonts w:ascii="Times New Roman" w:hAnsi="Times New Roman" w:cs="Times New Roman"/>
          <w:sz w:val="24"/>
          <w:szCs w:val="24"/>
          <w:lang w:val="en-US"/>
        </w:rPr>
        <w:t>) and 100mM</w:t>
      </w:r>
      <w:r w:rsidRPr="00556D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556DE0">
        <w:rPr>
          <w:rFonts w:ascii="Times New Roman" w:hAnsi="Times New Roman" w:cs="Times New Roman"/>
          <w:sz w:val="24"/>
          <w:szCs w:val="24"/>
          <w:lang w:val="en-US"/>
        </w:rPr>
        <w:sym w:font="Wingdings 2" w:char="F0A3"/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bookmarkStart w:id="0" w:name="_GoBack"/>
      <w:bookmarkEnd w:id="0"/>
    </w:p>
    <w:p w:rsidR="00495E28" w:rsidRDefault="00495E28"/>
    <w:sectPr w:rsidR="00495E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E28"/>
    <w:rsid w:val="00495E28"/>
    <w:rsid w:val="009153EC"/>
    <w:rsid w:val="00BF6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DCA5C4-1CD2-4144-A069-9119F0A41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E28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F:\RAG&#304;BE%20ES&#304;YE%20PPy%20POA%20ZnO\makale%20grafikleri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571347331583552"/>
          <c:y val="3.1041848935549721E-2"/>
          <c:w val="0.79446019247594046"/>
          <c:h val="0.76498396033829086"/>
        </c:manualLayout>
      </c:layout>
      <c:scatterChart>
        <c:scatterStyle val="smoothMarker"/>
        <c:varyColors val="0"/>
        <c:ser>
          <c:idx val="0"/>
          <c:order val="0"/>
          <c:tx>
            <c:strRef>
              <c:f>'monomer derişimi'!$J$21</c:f>
              <c:strCache>
                <c:ptCount val="1"/>
                <c:pt idx="0">
                  <c:v>0,01</c:v>
                </c:pt>
              </c:strCache>
            </c:strRef>
          </c:tx>
          <c:spPr>
            <a:ln w="3175" cap="rnd">
              <a:solidFill>
                <a:schemeClr val="tx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tx1"/>
              </a:solidFill>
              <a:ln w="9525">
                <a:solidFill>
                  <a:schemeClr val="tx1"/>
                </a:solidFill>
              </a:ln>
              <a:effectLst/>
            </c:spPr>
          </c:marker>
          <c:xVal>
            <c:numRef>
              <c:f>'monomer derişimi'!$I$22:$I$34</c:f>
              <c:numCache>
                <c:formatCode>General</c:formatCode>
                <c:ptCount val="13"/>
                <c:pt idx="0">
                  <c:v>0.2</c:v>
                </c:pt>
                <c:pt idx="1">
                  <c:v>0.4</c:v>
                </c:pt>
                <c:pt idx="2">
                  <c:v>0.6</c:v>
                </c:pt>
                <c:pt idx="3">
                  <c:v>0.8</c:v>
                </c:pt>
                <c:pt idx="4">
                  <c:v>1</c:v>
                </c:pt>
                <c:pt idx="5">
                  <c:v>1.25</c:v>
                </c:pt>
                <c:pt idx="6">
                  <c:v>1.5</c:v>
                </c:pt>
                <c:pt idx="7">
                  <c:v>1.75</c:v>
                </c:pt>
                <c:pt idx="8">
                  <c:v>2</c:v>
                </c:pt>
                <c:pt idx="9">
                  <c:v>2.25</c:v>
                </c:pt>
                <c:pt idx="10">
                  <c:v>2.5</c:v>
                </c:pt>
                <c:pt idx="11">
                  <c:v>2.75</c:v>
                </c:pt>
                <c:pt idx="12">
                  <c:v>3</c:v>
                </c:pt>
              </c:numCache>
            </c:numRef>
          </c:xVal>
          <c:yVal>
            <c:numRef>
              <c:f>'monomer derişimi'!$J$22:$J$34</c:f>
              <c:numCache>
                <c:formatCode>General</c:formatCode>
                <c:ptCount val="13"/>
                <c:pt idx="0">
                  <c:v>11.010421386497523</c:v>
                </c:pt>
                <c:pt idx="1">
                  <c:v>19.981875849569565</c:v>
                </c:pt>
                <c:pt idx="2">
                  <c:v>27.208880833710936</c:v>
                </c:pt>
                <c:pt idx="3">
                  <c:v>30.76574535568647</c:v>
                </c:pt>
                <c:pt idx="4">
                  <c:v>33.597643860444038</c:v>
                </c:pt>
                <c:pt idx="5">
                  <c:v>36.293611236973291</c:v>
                </c:pt>
                <c:pt idx="6">
                  <c:v>41.391028545536926</c:v>
                </c:pt>
                <c:pt idx="7">
                  <c:v>44.970548255550526</c:v>
                </c:pt>
                <c:pt idx="8">
                  <c:v>49.342999546896245</c:v>
                </c:pt>
                <c:pt idx="9">
                  <c:v>54.825555052106935</c:v>
                </c:pt>
                <c:pt idx="10">
                  <c:v>57.227004984141381</c:v>
                </c:pt>
                <c:pt idx="11">
                  <c:v>59.016764839148173</c:v>
                </c:pt>
                <c:pt idx="12">
                  <c:v>62.754870865428188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AD07-4B11-B19D-BA6466BBDCE3}"/>
            </c:ext>
          </c:extLst>
        </c:ser>
        <c:ser>
          <c:idx val="1"/>
          <c:order val="1"/>
          <c:tx>
            <c:strRef>
              <c:f>'monomer derişimi'!$K$21</c:f>
              <c:strCache>
                <c:ptCount val="1"/>
                <c:pt idx="0">
                  <c:v>0,025</c:v>
                </c:pt>
              </c:strCache>
            </c:strRef>
          </c:tx>
          <c:spPr>
            <a:ln w="3175" cap="rnd">
              <a:solidFill>
                <a:schemeClr val="tx1"/>
              </a:solidFill>
              <a:round/>
            </a:ln>
            <a:effectLst/>
          </c:spPr>
          <c:marker>
            <c:symbol val="circle"/>
            <c:size val="5"/>
            <c:spPr>
              <a:noFill/>
              <a:ln w="9525">
                <a:solidFill>
                  <a:schemeClr val="tx1"/>
                </a:solidFill>
              </a:ln>
              <a:effectLst/>
            </c:spPr>
          </c:marker>
          <c:xVal>
            <c:numRef>
              <c:f>'monomer derişimi'!$I$22:$I$34</c:f>
              <c:numCache>
                <c:formatCode>General</c:formatCode>
                <c:ptCount val="13"/>
                <c:pt idx="0">
                  <c:v>0.2</c:v>
                </c:pt>
                <c:pt idx="1">
                  <c:v>0.4</c:v>
                </c:pt>
                <c:pt idx="2">
                  <c:v>0.6</c:v>
                </c:pt>
                <c:pt idx="3">
                  <c:v>0.8</c:v>
                </c:pt>
                <c:pt idx="4">
                  <c:v>1</c:v>
                </c:pt>
                <c:pt idx="5">
                  <c:v>1.25</c:v>
                </c:pt>
                <c:pt idx="6">
                  <c:v>1.5</c:v>
                </c:pt>
                <c:pt idx="7">
                  <c:v>1.75</c:v>
                </c:pt>
                <c:pt idx="8">
                  <c:v>2</c:v>
                </c:pt>
                <c:pt idx="9">
                  <c:v>2.25</c:v>
                </c:pt>
                <c:pt idx="10">
                  <c:v>2.5</c:v>
                </c:pt>
                <c:pt idx="11">
                  <c:v>2.75</c:v>
                </c:pt>
                <c:pt idx="12">
                  <c:v>3</c:v>
                </c:pt>
              </c:numCache>
            </c:numRef>
          </c:xVal>
          <c:yVal>
            <c:numRef>
              <c:f>'monomer derişimi'!$K$22:$K$34</c:f>
              <c:numCache>
                <c:formatCode>General</c:formatCode>
                <c:ptCount val="13"/>
                <c:pt idx="0">
                  <c:v>9.5604893520616265</c:v>
                </c:pt>
                <c:pt idx="1">
                  <c:v>17.67104666968736</c:v>
                </c:pt>
                <c:pt idx="2">
                  <c:v>27.775260534662436</c:v>
                </c:pt>
                <c:pt idx="3">
                  <c:v>38.695061169007722</c:v>
                </c:pt>
                <c:pt idx="4">
                  <c:v>49.071137290439516</c:v>
                </c:pt>
                <c:pt idx="5">
                  <c:v>58.654281830539205</c:v>
                </c:pt>
                <c:pt idx="6">
                  <c:v>66.017217942908928</c:v>
                </c:pt>
                <c:pt idx="7">
                  <c:v>73.629361123697336</c:v>
                </c:pt>
                <c:pt idx="8">
                  <c:v>80.403262347077487</c:v>
                </c:pt>
                <c:pt idx="9">
                  <c:v>87.539646579066627</c:v>
                </c:pt>
                <c:pt idx="10">
                  <c:v>92.682374263706421</c:v>
                </c:pt>
                <c:pt idx="11">
                  <c:v>94.064340734028121</c:v>
                </c:pt>
                <c:pt idx="12">
                  <c:v>100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AD07-4B11-B19D-BA6466BBDCE3}"/>
            </c:ext>
          </c:extLst>
        </c:ser>
        <c:ser>
          <c:idx val="2"/>
          <c:order val="2"/>
          <c:tx>
            <c:strRef>
              <c:f>'monomer derişimi'!$L$21</c:f>
              <c:strCache>
                <c:ptCount val="1"/>
                <c:pt idx="0">
                  <c:v>0,05</c:v>
                </c:pt>
              </c:strCache>
            </c:strRef>
          </c:tx>
          <c:spPr>
            <a:ln w="3175" cap="rnd">
              <a:solidFill>
                <a:schemeClr val="tx1"/>
              </a:solidFill>
              <a:round/>
            </a:ln>
            <a:effectLst/>
          </c:spPr>
          <c:marker>
            <c:symbol val="triangle"/>
            <c:size val="5"/>
            <c:spPr>
              <a:noFill/>
              <a:ln w="9525">
                <a:solidFill>
                  <a:schemeClr val="tx1"/>
                </a:solidFill>
              </a:ln>
              <a:effectLst/>
            </c:spPr>
          </c:marker>
          <c:xVal>
            <c:numRef>
              <c:f>'monomer derişimi'!$I$22:$I$34</c:f>
              <c:numCache>
                <c:formatCode>General</c:formatCode>
                <c:ptCount val="13"/>
                <c:pt idx="0">
                  <c:v>0.2</c:v>
                </c:pt>
                <c:pt idx="1">
                  <c:v>0.4</c:v>
                </c:pt>
                <c:pt idx="2">
                  <c:v>0.6</c:v>
                </c:pt>
                <c:pt idx="3">
                  <c:v>0.8</c:v>
                </c:pt>
                <c:pt idx="4">
                  <c:v>1</c:v>
                </c:pt>
                <c:pt idx="5">
                  <c:v>1.25</c:v>
                </c:pt>
                <c:pt idx="6">
                  <c:v>1.5</c:v>
                </c:pt>
                <c:pt idx="7">
                  <c:v>1.75</c:v>
                </c:pt>
                <c:pt idx="8">
                  <c:v>2</c:v>
                </c:pt>
                <c:pt idx="9">
                  <c:v>2.25</c:v>
                </c:pt>
                <c:pt idx="10">
                  <c:v>2.5</c:v>
                </c:pt>
                <c:pt idx="11">
                  <c:v>2.75</c:v>
                </c:pt>
                <c:pt idx="12">
                  <c:v>3</c:v>
                </c:pt>
              </c:numCache>
            </c:numRef>
          </c:xVal>
          <c:yVal>
            <c:numRef>
              <c:f>'monomer derişimi'!$L$22:$L$34</c:f>
              <c:numCache>
                <c:formatCode>General</c:formatCode>
                <c:ptCount val="13"/>
                <c:pt idx="0">
                  <c:v>9.6511101042138705</c:v>
                </c:pt>
                <c:pt idx="1">
                  <c:v>20.480289986406884</c:v>
                </c:pt>
                <c:pt idx="2">
                  <c:v>29.859537834164019</c:v>
                </c:pt>
                <c:pt idx="3">
                  <c:v>40.552786588128683</c:v>
                </c:pt>
                <c:pt idx="4">
                  <c:v>49.080199365654728</c:v>
                </c:pt>
                <c:pt idx="5">
                  <c:v>58.903488898957868</c:v>
                </c:pt>
                <c:pt idx="6">
                  <c:v>64.61259628454917</c:v>
                </c:pt>
                <c:pt idx="7">
                  <c:v>69.188944268237435</c:v>
                </c:pt>
                <c:pt idx="8">
                  <c:v>71.0013593112823</c:v>
                </c:pt>
                <c:pt idx="9">
                  <c:v>75.124603534209356</c:v>
                </c:pt>
                <c:pt idx="10">
                  <c:v>75.668328047122785</c:v>
                </c:pt>
                <c:pt idx="11">
                  <c:v>77.163570457634805</c:v>
                </c:pt>
                <c:pt idx="12">
                  <c:v>78.975985500679684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AD07-4B11-B19D-BA6466BBDCE3}"/>
            </c:ext>
          </c:extLst>
        </c:ser>
        <c:ser>
          <c:idx val="3"/>
          <c:order val="3"/>
          <c:tx>
            <c:strRef>
              <c:f>'monomer derişimi'!$M$21</c:f>
              <c:strCache>
                <c:ptCount val="1"/>
                <c:pt idx="0">
                  <c:v>0,075</c:v>
                </c:pt>
              </c:strCache>
            </c:strRef>
          </c:tx>
          <c:spPr>
            <a:ln w="3175" cap="rnd">
              <a:solidFill>
                <a:schemeClr val="tx1">
                  <a:alpha val="99000"/>
                </a:schemeClr>
              </a:solidFill>
              <a:round/>
            </a:ln>
            <a:effectLst/>
          </c:spPr>
          <c:marker>
            <c:symbol val="triangle"/>
            <c:size val="5"/>
            <c:spPr>
              <a:solidFill>
                <a:schemeClr val="tx1"/>
              </a:solidFill>
              <a:ln w="9525">
                <a:solidFill>
                  <a:schemeClr val="tx1"/>
                </a:solidFill>
              </a:ln>
              <a:effectLst/>
            </c:spPr>
          </c:marker>
          <c:xVal>
            <c:numRef>
              <c:f>'monomer derişimi'!$I$22:$I$34</c:f>
              <c:numCache>
                <c:formatCode>General</c:formatCode>
                <c:ptCount val="13"/>
                <c:pt idx="0">
                  <c:v>0.2</c:v>
                </c:pt>
                <c:pt idx="1">
                  <c:v>0.4</c:v>
                </c:pt>
                <c:pt idx="2">
                  <c:v>0.6</c:v>
                </c:pt>
                <c:pt idx="3">
                  <c:v>0.8</c:v>
                </c:pt>
                <c:pt idx="4">
                  <c:v>1</c:v>
                </c:pt>
                <c:pt idx="5">
                  <c:v>1.25</c:v>
                </c:pt>
                <c:pt idx="6">
                  <c:v>1.5</c:v>
                </c:pt>
                <c:pt idx="7">
                  <c:v>1.75</c:v>
                </c:pt>
                <c:pt idx="8">
                  <c:v>2</c:v>
                </c:pt>
                <c:pt idx="9">
                  <c:v>2.25</c:v>
                </c:pt>
                <c:pt idx="10">
                  <c:v>2.5</c:v>
                </c:pt>
                <c:pt idx="11">
                  <c:v>2.75</c:v>
                </c:pt>
                <c:pt idx="12">
                  <c:v>3</c:v>
                </c:pt>
              </c:numCache>
            </c:numRef>
          </c:xVal>
          <c:yVal>
            <c:numRef>
              <c:f>'monomer derişimi'!$M$22:$M$34</c:f>
              <c:numCache>
                <c:formatCode>General</c:formatCode>
                <c:ptCount val="13"/>
                <c:pt idx="0">
                  <c:v>6.6153149071137287</c:v>
                </c:pt>
                <c:pt idx="1">
                  <c:v>13.86497507929316</c:v>
                </c:pt>
                <c:pt idx="2">
                  <c:v>20.570910738559132</c:v>
                </c:pt>
                <c:pt idx="3">
                  <c:v>27.095604893520619</c:v>
                </c:pt>
                <c:pt idx="4">
                  <c:v>33.574988672405979</c:v>
                </c:pt>
                <c:pt idx="5">
                  <c:v>38.966923425464437</c:v>
                </c:pt>
                <c:pt idx="6">
                  <c:v>43.951064793837787</c:v>
                </c:pt>
                <c:pt idx="7">
                  <c:v>48.482102401449936</c:v>
                </c:pt>
                <c:pt idx="8">
                  <c:v>51.971001359311288</c:v>
                </c:pt>
                <c:pt idx="9">
                  <c:v>55.459900317172639</c:v>
                </c:pt>
                <c:pt idx="10">
                  <c:v>58.994109651110108</c:v>
                </c:pt>
                <c:pt idx="11">
                  <c:v>62.120525600362484</c:v>
                </c:pt>
                <c:pt idx="12">
                  <c:v>64.929768917082015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AD07-4B11-B19D-BA6466BBDCE3}"/>
            </c:ext>
          </c:extLst>
        </c:ser>
        <c:ser>
          <c:idx val="4"/>
          <c:order val="4"/>
          <c:tx>
            <c:strRef>
              <c:f>'monomer derişimi'!$N$21</c:f>
              <c:strCache>
                <c:ptCount val="1"/>
                <c:pt idx="0">
                  <c:v>0,1</c:v>
                </c:pt>
              </c:strCache>
            </c:strRef>
          </c:tx>
          <c:spPr>
            <a:ln w="3175" cap="rnd">
              <a:solidFill>
                <a:schemeClr val="tx1"/>
              </a:solidFill>
              <a:round/>
            </a:ln>
            <a:effectLst/>
          </c:spPr>
          <c:marker>
            <c:symbol val="square"/>
            <c:size val="5"/>
            <c:spPr>
              <a:noFill/>
              <a:ln w="9525">
                <a:solidFill>
                  <a:schemeClr val="tx1"/>
                </a:solidFill>
              </a:ln>
              <a:effectLst/>
            </c:spPr>
          </c:marker>
          <c:xVal>
            <c:numRef>
              <c:f>'monomer derişimi'!$I$22:$I$34</c:f>
              <c:numCache>
                <c:formatCode>General</c:formatCode>
                <c:ptCount val="13"/>
                <c:pt idx="0">
                  <c:v>0.2</c:v>
                </c:pt>
                <c:pt idx="1">
                  <c:v>0.4</c:v>
                </c:pt>
                <c:pt idx="2">
                  <c:v>0.6</c:v>
                </c:pt>
                <c:pt idx="3">
                  <c:v>0.8</c:v>
                </c:pt>
                <c:pt idx="4">
                  <c:v>1</c:v>
                </c:pt>
                <c:pt idx="5">
                  <c:v>1.25</c:v>
                </c:pt>
                <c:pt idx="6">
                  <c:v>1.5</c:v>
                </c:pt>
                <c:pt idx="7">
                  <c:v>1.75</c:v>
                </c:pt>
                <c:pt idx="8">
                  <c:v>2</c:v>
                </c:pt>
                <c:pt idx="9">
                  <c:v>2.25</c:v>
                </c:pt>
                <c:pt idx="10">
                  <c:v>2.5</c:v>
                </c:pt>
                <c:pt idx="11">
                  <c:v>2.75</c:v>
                </c:pt>
                <c:pt idx="12">
                  <c:v>3</c:v>
                </c:pt>
              </c:numCache>
            </c:numRef>
          </c:xVal>
          <c:yVal>
            <c:numRef>
              <c:f>'monomer derişimi'!$N$22:$N$34</c:f>
              <c:numCache>
                <c:formatCode>General</c:formatCode>
                <c:ptCount val="13"/>
                <c:pt idx="0">
                  <c:v>2.6733121884911646</c:v>
                </c:pt>
                <c:pt idx="1">
                  <c:v>5.0294517444494788</c:v>
                </c:pt>
                <c:pt idx="2">
                  <c:v>8.4730403262347078</c:v>
                </c:pt>
                <c:pt idx="3">
                  <c:v>11.327594019030359</c:v>
                </c:pt>
                <c:pt idx="4">
                  <c:v>13.638423198912552</c:v>
                </c:pt>
                <c:pt idx="5">
                  <c:v>17.263253285002268</c:v>
                </c:pt>
                <c:pt idx="6">
                  <c:v>19.710013593112823</c:v>
                </c:pt>
                <c:pt idx="7">
                  <c:v>21.794290892614409</c:v>
                </c:pt>
                <c:pt idx="8">
                  <c:v>22.836429542365202</c:v>
                </c:pt>
                <c:pt idx="9">
                  <c:v>23.606705935659271</c:v>
                </c:pt>
                <c:pt idx="10">
                  <c:v>25.373810602628005</c:v>
                </c:pt>
                <c:pt idx="11">
                  <c:v>26.053466243769822</c:v>
                </c:pt>
                <c:pt idx="12">
                  <c:v>28.092433167195292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AD07-4B11-B19D-BA6466BBDCE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618168"/>
        <c:axId val="6618560"/>
      </c:scatterChart>
      <c:valAx>
        <c:axId val="6618168"/>
        <c:scaling>
          <c:orientation val="minMax"/>
          <c:max val="3"/>
        </c:scaling>
        <c:delete val="0"/>
        <c:axPos val="b"/>
        <c:title>
          <c:tx>
            <c:rich>
              <a:bodyPr rot="0" vert="horz"/>
              <a:lstStyle/>
              <a:p>
                <a:pPr>
                  <a:defRPr b="0"/>
                </a:pPr>
                <a:r>
                  <a:rPr lang="tr-TR" b="0"/>
                  <a:t>Glucose Concentration (mM)</a:t>
                </a:r>
              </a:p>
            </c:rich>
          </c:tx>
          <c:layout>
            <c:manualLayout>
              <c:xMode val="edge"/>
              <c:yMode val="edge"/>
              <c:x val="0.40273512685914259"/>
              <c:y val="0.88057050160396622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tr-TR"/>
          </a:p>
        </c:txPr>
        <c:crossAx val="6618560"/>
        <c:crosses val="autoZero"/>
        <c:crossBetween val="midCat"/>
        <c:majorUnit val="0.5"/>
        <c:minorUnit val="0.5"/>
      </c:valAx>
      <c:valAx>
        <c:axId val="6618560"/>
        <c:scaling>
          <c:orientation val="minMax"/>
          <c:max val="100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 b="0"/>
                </a:pPr>
                <a:r>
                  <a:rPr lang="tr-TR" b="0"/>
                  <a:t> Maximal Current %</a:t>
                </a:r>
              </a:p>
            </c:rich>
          </c:tx>
          <c:layout>
            <c:manualLayout>
              <c:xMode val="edge"/>
              <c:yMode val="edge"/>
              <c:x val="4.9252843394575668E-2"/>
              <c:y val="0.25091790609507147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tr-TR"/>
          </a:p>
        </c:txPr>
        <c:crossAx val="6618168"/>
        <c:crosses val="autoZero"/>
        <c:crossBetween val="midCat"/>
      </c:valAx>
      <c:spPr>
        <a:noFill/>
        <a:ln w="19050"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800">
          <a:latin typeface="Arial" panose="020B0604020202020204" pitchFamily="34" charset="0"/>
          <a:cs typeface="Arial" panose="020B0604020202020204" pitchFamily="34" charset="0"/>
        </a:defRPr>
      </a:pPr>
      <a:endParaRPr lang="tr-TR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2</cp:revision>
  <dcterms:created xsi:type="dcterms:W3CDTF">2019-02-16T23:45:00Z</dcterms:created>
  <dcterms:modified xsi:type="dcterms:W3CDTF">2019-04-05T22:36:00Z</dcterms:modified>
</cp:coreProperties>
</file>